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A6" w:rsidRDefault="00F321A6" w:rsidP="00F321A6">
      <w:r>
        <w:rPr>
          <w:b/>
          <w:bCs/>
        </w:rPr>
        <w:t>Common-Mode Termination Requirements in Concurrent Dual-Band Push-Pull Power Amplifiers</w:t>
      </w:r>
    </w:p>
    <w:p w:rsidR="00F321A6" w:rsidRDefault="00F321A6" w:rsidP="00F321A6"/>
    <w:p w:rsidR="00F321A6" w:rsidRDefault="00F321A6" w:rsidP="00F321A6">
      <w:pPr>
        <w:spacing w:before="100" w:beforeAutospacing="1" w:after="100" w:afterAutospacing="1" w:line="480" w:lineRule="auto"/>
        <w:jc w:val="center"/>
      </w:pPr>
      <w:r>
        <w:t>ABSTRACT</w:t>
      </w:r>
    </w:p>
    <w:p w:rsidR="00F321A6" w:rsidRDefault="00F321A6" w:rsidP="00F321A6">
      <w:pPr>
        <w:spacing w:before="100" w:beforeAutospacing="1" w:after="100" w:afterAutospacing="1" w:line="480" w:lineRule="auto"/>
      </w:pPr>
      <w:r>
        <w:t xml:space="preserve">            Concurrent dual-band switch-mode power amplifiers require high common-mode impedance at their intermodulation frequencies. </w:t>
      </w:r>
      <w:proofErr w:type="spellStart"/>
      <w:r>
        <w:t>Baluns</w:t>
      </w:r>
      <w:proofErr w:type="spellEnd"/>
      <w:r>
        <w:t xml:space="preserve"> utilizing quarter-wave effects only present perfect open common-mode impedance at their design frequency. Attempting to use a </w:t>
      </w:r>
      <w:proofErr w:type="spellStart"/>
      <w:r>
        <w:t>balun</w:t>
      </w:r>
      <w:proofErr w:type="spellEnd"/>
      <w:r>
        <w:t xml:space="preserve"> in a dual-band push-pull power amplifier without taking the new dual-band requirements for common-mode impedance into account will result in efficiency loss. However, the addition of some transmission lines can move impedance to those specific frequencies by rotation of the common-mode impedance without affecting the differential mode match.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A6"/>
    <w:rsid w:val="00B909D1"/>
    <w:rsid w:val="00F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BEBCD-FF59-4001-8490-72D89CB3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A6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2017-03-29T19:01:00Z</dcterms:created>
  <dcterms:modified xsi:type="dcterms:W3CDTF">2017-03-29T19:02:00Z</dcterms:modified>
</cp:coreProperties>
</file>